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D3" w:rsidRDefault="00D37AD3" w:rsidP="00D37AD3">
      <w:pPr>
        <w:widowControl/>
        <w:spacing w:before="100" w:beforeAutospacing="1" w:after="100" w:afterAutospacing="1"/>
        <w:jc w:val="center"/>
        <w:rPr>
          <w:rFonts w:ascii="黑体" w:eastAsia="黑体" w:hAnsi="黑体" w:cs="宋体" w:hint="eastAsia"/>
          <w:b/>
          <w:color w:val="000000" w:themeColor="text1"/>
          <w:kern w:val="0"/>
          <w:sz w:val="32"/>
          <w:szCs w:val="32"/>
        </w:rPr>
      </w:pPr>
      <w:r w:rsidRPr="00D37AD3">
        <w:rPr>
          <w:rFonts w:ascii="黑体" w:eastAsia="黑体" w:hAnsi="黑体" w:cs="宋体"/>
          <w:b/>
          <w:color w:val="000000" w:themeColor="text1"/>
          <w:kern w:val="0"/>
          <w:sz w:val="32"/>
          <w:szCs w:val="32"/>
        </w:rPr>
        <w:t>中华人民共和国国家标准水质标准</w:t>
      </w:r>
    </w:p>
    <w:p w:rsidR="00D37AD3" w:rsidRPr="00D37AD3" w:rsidRDefault="00D37AD3" w:rsidP="00D37AD3">
      <w:pPr>
        <w:widowControl/>
        <w:spacing w:before="100" w:beforeAutospacing="1" w:after="100" w:afterAutospacing="1"/>
        <w:jc w:val="center"/>
        <w:rPr>
          <w:rFonts w:ascii="黑体" w:eastAsia="黑体" w:hAnsi="黑体" w:cs="宋体"/>
          <w:b/>
          <w:color w:val="000000" w:themeColor="text1"/>
          <w:kern w:val="0"/>
          <w:sz w:val="32"/>
          <w:szCs w:val="32"/>
        </w:rPr>
      </w:pPr>
      <w:bookmarkStart w:id="0" w:name="_GoBack"/>
      <w:r w:rsidRPr="00D37AD3">
        <w:rPr>
          <w:rFonts w:ascii="黑体" w:eastAsia="黑体" w:hAnsi="黑体" w:cs="宋体"/>
          <w:b/>
          <w:color w:val="000000" w:themeColor="text1"/>
          <w:kern w:val="0"/>
          <w:sz w:val="32"/>
          <w:szCs w:val="32"/>
        </w:rPr>
        <w:t>工业锅炉水质</w:t>
      </w:r>
    </w:p>
    <w:bookmarkEnd w:id="0"/>
    <w:p w:rsidR="00D37AD3" w:rsidRPr="00D37AD3" w:rsidRDefault="00D37AD3" w:rsidP="00D37AD3">
      <w:pPr>
        <w:widowControl/>
        <w:spacing w:before="60" w:after="60"/>
        <w:jc w:val="center"/>
        <w:rPr>
          <w:rFonts w:ascii="宋体" w:eastAsia="宋体" w:hAnsi="宋体" w:cs="宋体" w:hint="eastAsia"/>
          <w:bCs/>
          <w:color w:val="000000"/>
          <w:kern w:val="0"/>
          <w:sz w:val="18"/>
          <w:szCs w:val="18"/>
        </w:rPr>
      </w:pPr>
      <w:r w:rsidRPr="00D37AD3">
        <w:rPr>
          <w:rFonts w:ascii="宋体" w:eastAsia="宋体" w:hAnsi="宋体" w:cs="宋体"/>
          <w:bCs/>
          <w:color w:val="000000"/>
          <w:kern w:val="0"/>
          <w:sz w:val="18"/>
          <w:szCs w:val="18"/>
        </w:rPr>
        <w:t>中华人民共和国国家标准</w:t>
      </w:r>
    </w:p>
    <w:p w:rsidR="00D37AD3" w:rsidRPr="00D37AD3" w:rsidRDefault="00D37AD3" w:rsidP="00D37AD3">
      <w:pPr>
        <w:widowControl/>
        <w:spacing w:before="60" w:after="60"/>
        <w:jc w:val="center"/>
        <w:rPr>
          <w:rFonts w:ascii="宋体" w:eastAsia="宋体" w:hAnsi="宋体" w:cs="宋体" w:hint="eastAsia"/>
          <w:bCs/>
          <w:color w:val="000000"/>
          <w:kern w:val="0"/>
          <w:sz w:val="18"/>
          <w:szCs w:val="18"/>
        </w:rPr>
      </w:pPr>
      <w:r w:rsidRPr="00D37AD3">
        <w:rPr>
          <w:rFonts w:ascii="宋体" w:eastAsia="宋体" w:hAnsi="宋体" w:cs="宋体"/>
          <w:bCs/>
          <w:color w:val="000000"/>
          <w:kern w:val="0"/>
          <w:sz w:val="18"/>
          <w:szCs w:val="18"/>
        </w:rPr>
        <w:t>gbl576—2001</w:t>
      </w:r>
      <w:r w:rsidRPr="00D37AD3">
        <w:rPr>
          <w:rFonts w:ascii="宋体" w:eastAsia="宋体" w:hAnsi="宋体" w:cs="宋体"/>
          <w:color w:val="000000"/>
          <w:kern w:val="0"/>
          <w:sz w:val="27"/>
          <w:szCs w:val="27"/>
        </w:rPr>
        <w:br/>
      </w:r>
      <w:r w:rsidRPr="00D37AD3">
        <w:rPr>
          <w:rFonts w:ascii="宋体" w:eastAsia="宋体" w:hAnsi="宋体" w:cs="宋体"/>
          <w:bCs/>
          <w:color w:val="000000"/>
          <w:kern w:val="0"/>
          <w:sz w:val="18"/>
          <w:szCs w:val="18"/>
        </w:rPr>
        <w:t>工  业  锅  炉  水  质</w:t>
      </w:r>
    </w:p>
    <w:p w:rsidR="00D37AD3" w:rsidRDefault="00D37AD3" w:rsidP="00D37AD3">
      <w:pPr>
        <w:widowControl/>
        <w:spacing w:before="60" w:after="60"/>
        <w:jc w:val="center"/>
        <w:rPr>
          <w:rFonts w:ascii="宋体" w:eastAsia="宋体" w:hAnsi="宋体" w:cs="宋体" w:hint="eastAsia"/>
          <w:color w:val="000000"/>
          <w:kern w:val="0"/>
          <w:sz w:val="18"/>
          <w:szCs w:val="18"/>
        </w:rPr>
      </w:pPr>
      <w:r w:rsidRPr="00D37AD3">
        <w:rPr>
          <w:rFonts w:ascii="宋体" w:eastAsia="宋体" w:hAnsi="宋体" w:cs="宋体"/>
          <w:bCs/>
          <w:color w:val="000000"/>
          <w:kern w:val="0"/>
          <w:sz w:val="18"/>
          <w:szCs w:val="18"/>
        </w:rPr>
        <w:t>代替gbl576—1996</w:t>
      </w:r>
      <w:r w:rsidRPr="00D37AD3">
        <w:rPr>
          <w:rFonts w:ascii="宋体" w:eastAsia="宋体" w:hAnsi="宋体" w:cs="宋体"/>
          <w:color w:val="000000"/>
          <w:kern w:val="0"/>
          <w:sz w:val="18"/>
          <w:szCs w:val="18"/>
        </w:rPr>
        <w:t> </w:t>
      </w:r>
      <w:r>
        <w:rPr>
          <w:rFonts w:ascii="宋体" w:eastAsia="宋体" w:hAnsi="宋体" w:cs="宋体"/>
          <w:color w:val="000000"/>
          <w:kern w:val="0"/>
          <w:sz w:val="18"/>
          <w:szCs w:val="18"/>
        </w:rPr>
        <w:br/>
      </w:r>
      <w:r w:rsidRPr="00D37AD3">
        <w:rPr>
          <w:rFonts w:ascii="宋体" w:eastAsia="宋体" w:hAnsi="宋体" w:cs="宋体"/>
          <w:color w:val="000000"/>
          <w:kern w:val="0"/>
          <w:sz w:val="18"/>
          <w:szCs w:val="18"/>
        </w:rPr>
        <w:t>国家质量技术监督局2001-01-10批准</w:t>
      </w:r>
    </w:p>
    <w:p w:rsidR="00D37AD3" w:rsidRPr="00D37AD3" w:rsidRDefault="00D37AD3" w:rsidP="00D37AD3">
      <w:pPr>
        <w:widowControl/>
        <w:spacing w:before="60" w:after="60"/>
        <w:jc w:val="center"/>
        <w:rPr>
          <w:rFonts w:ascii="宋体" w:eastAsia="宋体" w:hAnsi="宋体" w:cs="宋体"/>
          <w:color w:val="000000"/>
          <w:kern w:val="0"/>
          <w:sz w:val="27"/>
          <w:szCs w:val="27"/>
        </w:rPr>
      </w:pPr>
      <w:r w:rsidRPr="00D37AD3">
        <w:rPr>
          <w:rFonts w:ascii="宋体" w:eastAsia="宋体" w:hAnsi="宋体" w:cs="宋体"/>
          <w:color w:val="000000"/>
          <w:kern w:val="0"/>
          <w:sz w:val="18"/>
          <w:szCs w:val="18"/>
        </w:rPr>
        <w:t>2001-10-01实施</w:t>
      </w:r>
    </w:p>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一、范围</w:t>
      </w:r>
    </w:p>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本标准规定了工业锅炉运行时的水质要求。</w:t>
      </w:r>
      <w:r w:rsidRPr="00D37AD3">
        <w:rPr>
          <w:rFonts w:ascii="宋体" w:eastAsia="宋体" w:hAnsi="宋体" w:cs="宋体"/>
          <w:color w:val="000000"/>
          <w:kern w:val="0"/>
          <w:sz w:val="18"/>
          <w:szCs w:val="18"/>
        </w:rPr>
        <w:br/>
        <w:t>本标准适用于额定出口蒸汽压力小于等于2.5mpa，以水为介质的固定式蒸汽锅炉和汽水两用锅炉也适用于以水为介质的固定式承压热水锅炉和常压热水锅炉。</w:t>
      </w:r>
    </w:p>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二、水质标准</w:t>
      </w:r>
    </w:p>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1、蒸汽锅炉和汽水两用锅炉的给水一般应采用锅外化学水处理，水质应符合表1规定</w:t>
      </w:r>
    </w:p>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    表1</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7"/>
        <w:gridCol w:w="547"/>
        <w:gridCol w:w="888"/>
        <w:gridCol w:w="888"/>
        <w:gridCol w:w="967"/>
        <w:gridCol w:w="730"/>
        <w:gridCol w:w="809"/>
        <w:gridCol w:w="1061"/>
      </w:tblGrid>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项    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给    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锅    水 </w:t>
            </w:r>
          </w:p>
        </w:tc>
      </w:tr>
      <w:tr w:rsidR="00D37AD3" w:rsidRPr="00D37AD3" w:rsidTr="00D37AD3">
        <w:trPr>
          <w:tblCellSpacing w:w="15"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额定蒸汽压力, </w:t>
            </w:r>
            <w:proofErr w:type="spellStart"/>
            <w:r w:rsidRPr="00D37AD3">
              <w:rPr>
                <w:rFonts w:ascii="宋体" w:eastAsia="宋体" w:hAnsi="宋体" w:cs="宋体"/>
                <w:color w:val="000000"/>
                <w:kern w:val="0"/>
                <w:sz w:val="18"/>
                <w:szCs w:val="18"/>
              </w:rPr>
              <w:t>mpa</w:t>
            </w:r>
            <w:proofErr w:type="spellEnd"/>
            <w:r w:rsidRPr="00D37AD3">
              <w:rPr>
                <w:rFonts w:ascii="宋体" w:eastAsia="宋体" w:hAnsi="宋体" w:cs="宋体"/>
                <w:color w:val="000000"/>
                <w:kern w:val="0"/>
                <w:sz w:val="18"/>
                <w:szCs w:val="18"/>
              </w:rPr>
              <w:t>  </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＞1.6 </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＞1.6</w:t>
            </w:r>
          </w:p>
        </w:tc>
      </w:tr>
      <w:tr w:rsidR="00D37AD3" w:rsidRPr="00D37AD3" w:rsidTr="00D37AD3">
        <w:trP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left"/>
              <w:rPr>
                <w:rFonts w:ascii="宋体" w:eastAsia="宋体" w:hAnsi="宋体" w:cs="宋体"/>
                <w:color w:val="000000"/>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≤1.6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left"/>
              <w:rPr>
                <w:rFonts w:ascii="宋体" w:eastAsia="宋体" w:hAnsi="宋体" w:cs="宋体"/>
                <w:color w:val="000000"/>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≤2.5</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悬浮物，mg/l</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≤5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总硬度，</w:t>
            </w:r>
            <w:proofErr w:type="spellStart"/>
            <w:r w:rsidRPr="00D37AD3">
              <w:rPr>
                <w:rFonts w:ascii="宋体" w:eastAsia="宋体" w:hAnsi="宋体" w:cs="宋体"/>
                <w:color w:val="000000"/>
                <w:kern w:val="0"/>
                <w:sz w:val="18"/>
                <w:szCs w:val="18"/>
              </w:rPr>
              <w:t>mmol</w:t>
            </w:r>
            <w:proofErr w:type="spellEnd"/>
            <w:r w:rsidRPr="00D37AD3">
              <w:rPr>
                <w:rFonts w:ascii="宋体" w:eastAsia="宋体" w:hAnsi="宋体" w:cs="宋体"/>
                <w:color w:val="000000"/>
                <w:kern w:val="0"/>
                <w:sz w:val="18"/>
                <w:szCs w:val="18"/>
              </w:rPr>
              <w:t>/l</w:t>
            </w:r>
            <w:r w:rsidRPr="00D37AD3">
              <w:rPr>
                <w:rFonts w:ascii="宋体" w:eastAsia="宋体" w:hAnsi="宋体" w:cs="宋体"/>
                <w:color w:val="000000"/>
                <w:kern w:val="0"/>
                <w:sz w:val="18"/>
                <w:szCs w:val="18"/>
                <w:vertAlign w:val="superscript"/>
              </w:rPr>
              <w:t>1)</w:t>
            </w: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≤0.03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r>
      <w:tr w:rsidR="00D37AD3" w:rsidRPr="00D37AD3" w:rsidTr="00D37AD3">
        <w:trPr>
          <w:tblCellSpacing w:w="15" w:type="dxa"/>
          <w:jc w:val="center"/>
        </w:trPr>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总碱度，</w:t>
            </w:r>
            <w:proofErr w:type="spellStart"/>
            <w:r w:rsidRPr="00D37AD3">
              <w:rPr>
                <w:rFonts w:ascii="宋体" w:eastAsia="宋体" w:hAnsi="宋体" w:cs="宋体"/>
                <w:color w:val="000000"/>
                <w:kern w:val="0"/>
                <w:sz w:val="18"/>
                <w:szCs w:val="18"/>
              </w:rPr>
              <w:t>mmol</w:t>
            </w:r>
            <w:proofErr w:type="spellEnd"/>
            <w:r w:rsidRPr="00D37AD3">
              <w:rPr>
                <w:rFonts w:ascii="宋体" w:eastAsia="宋体" w:hAnsi="宋体" w:cs="宋体"/>
                <w:color w:val="000000"/>
                <w:kern w:val="0"/>
                <w:sz w:val="18"/>
                <w:szCs w:val="18"/>
              </w:rPr>
              <w:t>/l</w:t>
            </w:r>
            <w:r w:rsidRPr="00D37AD3">
              <w:rPr>
                <w:rFonts w:ascii="宋体" w:eastAsia="宋体" w:hAnsi="宋体" w:cs="宋体"/>
                <w:color w:val="000000"/>
                <w:kern w:val="0"/>
                <w:sz w:val="18"/>
                <w:szCs w:val="18"/>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无过热器</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6-26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6-24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6-16</w:t>
            </w:r>
          </w:p>
        </w:tc>
      </w:tr>
      <w:tr w:rsidR="00D37AD3" w:rsidRPr="00D37AD3" w:rsidTr="00D37AD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left"/>
              <w:rPr>
                <w:rFonts w:ascii="宋体" w:eastAsia="宋体" w:hAnsi="宋体" w:cs="宋体"/>
                <w:color w:val="000000"/>
                <w:kern w:val="0"/>
                <w:sz w:val="18"/>
                <w:szCs w:val="18"/>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spacing w:before="100" w:beforeAutospacing="1" w:after="100" w:afterAutospacing="1"/>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有过热器</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≤12</w:t>
            </w:r>
          </w:p>
        </w:tc>
      </w:tr>
      <w:tr w:rsidR="00D37AD3" w:rsidRPr="00D37AD3" w:rsidTr="00D37AD3">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proofErr w:type="spellStart"/>
            <w:r w:rsidRPr="00D37AD3">
              <w:rPr>
                <w:rFonts w:ascii="宋体" w:eastAsia="宋体" w:hAnsi="宋体" w:cs="宋体"/>
                <w:color w:val="000000"/>
                <w:kern w:val="0"/>
                <w:sz w:val="18"/>
                <w:szCs w:val="18"/>
              </w:rPr>
              <w:t>ph</w:t>
            </w:r>
            <w:proofErr w:type="spellEnd"/>
            <w:r w:rsidRPr="00D37AD3">
              <w:rPr>
                <w:rFonts w:ascii="宋体" w:eastAsia="宋体" w:hAnsi="宋体" w:cs="宋体"/>
                <w:color w:val="000000"/>
                <w:kern w:val="0"/>
                <w:sz w:val="18"/>
                <w:szCs w:val="18"/>
              </w:rPr>
              <w:t>(25℃) </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10-12</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溶解氧，mg/l</w:t>
            </w:r>
            <w:r w:rsidRPr="00D37AD3">
              <w:rPr>
                <w:rFonts w:ascii="宋体" w:eastAsia="宋体" w:hAnsi="宋体" w:cs="宋体"/>
                <w:color w:val="000000"/>
                <w:kern w:val="0"/>
                <w:sz w:val="18"/>
                <w:szCs w:val="18"/>
                <w:vertAlign w:val="superscript"/>
              </w:rP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r>
      <w:tr w:rsidR="00D37AD3" w:rsidRPr="00D37AD3" w:rsidTr="00D37AD3">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溶解固形物，mg/l</w:t>
            </w:r>
            <w:r w:rsidRPr="00D37AD3">
              <w:rPr>
                <w:rFonts w:ascii="宋体" w:eastAsia="宋体" w:hAnsi="宋体" w:cs="宋体"/>
                <w:color w:val="000000"/>
                <w:kern w:val="0"/>
                <w:sz w:val="18"/>
                <w:szCs w:val="18"/>
                <w:vertAlign w:val="superscript"/>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无过热器</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＜4000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＜3500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＜3000</w:t>
            </w:r>
          </w:p>
        </w:tc>
      </w:tr>
      <w:tr w:rsidR="00D37AD3" w:rsidRPr="00D37AD3" w:rsidTr="00D37AD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left"/>
              <w:rPr>
                <w:rFonts w:ascii="宋体" w:eastAsia="宋体" w:hAnsi="宋体" w:cs="宋体"/>
                <w:color w:val="000000"/>
                <w:kern w:val="0"/>
                <w:sz w:val="18"/>
                <w:szCs w:val="18"/>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有过热器</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＜3000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＜2500</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so2-3，mg/l</w:t>
            </w:r>
            <w:r w:rsidRPr="00D37AD3">
              <w:rPr>
                <w:rFonts w:ascii="宋体" w:eastAsia="宋体" w:hAnsi="宋体" w:cs="宋体"/>
                <w:color w:val="000000"/>
                <w:kern w:val="0"/>
                <w:sz w:val="18"/>
                <w:szCs w:val="18"/>
                <w:vertAlign w:val="superscript"/>
              </w:rPr>
              <w:t>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10-30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10-30</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po3-4，mg/l</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10-30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10-30  </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相对碱度</w:t>
            </w:r>
            <w:r w:rsidRPr="00D37AD3">
              <w:rPr>
                <w:rFonts w:ascii="宋体" w:eastAsia="宋体" w:hAnsi="宋体" w:cs="宋体"/>
                <w:color w:val="000000"/>
                <w:kern w:val="0"/>
                <w:sz w:val="18"/>
                <w:szCs w:val="18"/>
              </w:rPr>
              <w:br/>
              <w:t>游离</w:t>
            </w:r>
            <w:proofErr w:type="spellStart"/>
            <w:r w:rsidRPr="00D37AD3">
              <w:rPr>
                <w:rFonts w:ascii="宋体" w:eastAsia="宋体" w:hAnsi="宋体" w:cs="宋体"/>
                <w:color w:val="000000"/>
                <w:kern w:val="0"/>
                <w:sz w:val="18"/>
                <w:szCs w:val="18"/>
              </w:rPr>
              <w:t>naoh</w:t>
            </w:r>
            <w:proofErr w:type="spellEnd"/>
            <w:r w:rsidRPr="00D37AD3">
              <w:rPr>
                <w:rFonts w:ascii="宋体" w:eastAsia="宋体" w:hAnsi="宋体" w:cs="宋体"/>
                <w:color w:val="000000"/>
                <w:kern w:val="0"/>
                <w:sz w:val="18"/>
                <w:szCs w:val="18"/>
              </w:rPr>
              <w:t>/溶解固形物）</w:t>
            </w:r>
            <w:r w:rsidRPr="00D37AD3">
              <w:rPr>
                <w:rFonts w:ascii="宋体" w:eastAsia="宋体" w:hAnsi="宋体" w:cs="宋体"/>
                <w:color w:val="000000"/>
                <w:kern w:val="0"/>
                <w:sz w:val="18"/>
                <w:szCs w:val="18"/>
                <w:vertAlign w:val="superscript"/>
              </w:rPr>
              <w:t>5)</w:t>
            </w: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＜0.2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＜0.2</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lastRenderedPageBreak/>
              <w:t>含油量，mg/l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≤2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含铁量，mg/l6)</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r>
      <w:tr w:rsidR="00D37AD3" w:rsidRPr="00D37AD3" w:rsidTr="00D37AD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r>
      <w:tr w:rsidR="00D37AD3" w:rsidRPr="00D37AD3" w:rsidTr="00D37AD3">
        <w:trPr>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spacing w:before="60" w:after="60"/>
              <w:jc w:val="left"/>
              <w:rPr>
                <w:rFonts w:ascii="宋体" w:eastAsia="宋体" w:hAnsi="宋体" w:cs="宋体"/>
                <w:color w:val="000000"/>
                <w:kern w:val="0"/>
                <w:sz w:val="18"/>
                <w:szCs w:val="18"/>
              </w:rPr>
            </w:pPr>
            <w:r w:rsidRPr="00D37AD3">
              <w:rPr>
                <w:rFonts w:ascii="宋体" w:eastAsia="宋体" w:hAnsi="宋体" w:cs="宋体"/>
                <w:color w:val="000000"/>
                <w:kern w:val="0"/>
                <w:sz w:val="18"/>
                <w:szCs w:val="18"/>
              </w:rPr>
              <w:t>1) 硬度</w:t>
            </w:r>
            <w:proofErr w:type="spellStart"/>
            <w:r w:rsidRPr="00D37AD3">
              <w:rPr>
                <w:rFonts w:ascii="宋体" w:eastAsia="宋体" w:hAnsi="宋体" w:cs="宋体"/>
                <w:color w:val="000000"/>
                <w:kern w:val="0"/>
                <w:sz w:val="18"/>
                <w:szCs w:val="18"/>
              </w:rPr>
              <w:t>mmol</w:t>
            </w:r>
            <w:proofErr w:type="spellEnd"/>
            <w:r w:rsidRPr="00D37AD3">
              <w:rPr>
                <w:rFonts w:ascii="宋体" w:eastAsia="宋体" w:hAnsi="宋体" w:cs="宋体"/>
                <w:color w:val="000000"/>
                <w:kern w:val="0"/>
                <w:sz w:val="18"/>
                <w:szCs w:val="18"/>
              </w:rPr>
              <w:t>/l的基本单元为c(1/2ca</w:t>
            </w:r>
            <w:r w:rsidRPr="00D37AD3">
              <w:rPr>
                <w:rFonts w:ascii="宋体" w:eastAsia="宋体" w:hAnsi="宋体" w:cs="宋体"/>
                <w:color w:val="000000"/>
                <w:kern w:val="0"/>
                <w:sz w:val="18"/>
                <w:szCs w:val="18"/>
                <w:vertAlign w:val="superscript"/>
              </w:rPr>
              <w:t>2+</w:t>
            </w:r>
            <w:r w:rsidRPr="00D37AD3">
              <w:rPr>
                <w:rFonts w:ascii="宋体" w:eastAsia="宋体" w:hAnsi="宋体" w:cs="宋体"/>
                <w:color w:val="000000"/>
                <w:kern w:val="0"/>
                <w:sz w:val="18"/>
                <w:szCs w:val="18"/>
              </w:rPr>
              <w:t>、1/2mg</w:t>
            </w:r>
            <w:r w:rsidRPr="00D37AD3">
              <w:rPr>
                <w:rFonts w:ascii="宋体" w:eastAsia="宋体" w:hAnsi="宋体" w:cs="宋体"/>
                <w:color w:val="000000"/>
                <w:kern w:val="0"/>
                <w:sz w:val="18"/>
                <w:szCs w:val="18"/>
                <w:vertAlign w:val="superscript"/>
              </w:rPr>
              <w:t>2+</w:t>
            </w:r>
            <w:r w:rsidRPr="00D37AD3">
              <w:rPr>
                <w:rFonts w:ascii="宋体" w:eastAsia="宋体" w:hAnsi="宋体" w:cs="宋体"/>
                <w:color w:val="000000"/>
                <w:kern w:val="0"/>
                <w:sz w:val="18"/>
                <w:szCs w:val="18"/>
              </w:rPr>
              <w:t>)，下同。</w:t>
            </w:r>
            <w:r w:rsidRPr="00D37AD3">
              <w:rPr>
                <w:rFonts w:ascii="宋体" w:eastAsia="宋体" w:hAnsi="宋体" w:cs="宋体"/>
                <w:color w:val="000000"/>
                <w:kern w:val="0"/>
                <w:sz w:val="18"/>
                <w:szCs w:val="18"/>
              </w:rPr>
              <w:br/>
              <w:t>2) 碱度mmo1/l的基本单元为c(oh</w:t>
            </w:r>
            <w:r w:rsidRPr="00D37AD3">
              <w:rPr>
                <w:rFonts w:ascii="宋体" w:eastAsia="宋体" w:hAnsi="宋体" w:cs="宋体"/>
                <w:color w:val="000000"/>
                <w:kern w:val="0"/>
                <w:sz w:val="18"/>
                <w:szCs w:val="18"/>
                <w:vertAlign w:val="superscript"/>
              </w:rPr>
              <w:t>-</w:t>
            </w:r>
            <w:r w:rsidRPr="00D37AD3">
              <w:rPr>
                <w:rFonts w:ascii="宋体" w:eastAsia="宋体" w:hAnsi="宋体" w:cs="宋体"/>
                <w:color w:val="000000"/>
                <w:kern w:val="0"/>
                <w:sz w:val="18"/>
                <w:szCs w:val="18"/>
              </w:rPr>
              <w:t>、1/2co</w:t>
            </w:r>
            <w:r w:rsidRPr="00D37AD3">
              <w:rPr>
                <w:rFonts w:ascii="宋体" w:eastAsia="宋体" w:hAnsi="宋体" w:cs="宋体"/>
                <w:color w:val="000000"/>
                <w:kern w:val="0"/>
                <w:sz w:val="18"/>
                <w:szCs w:val="18"/>
                <w:vertAlign w:val="superscript"/>
              </w:rPr>
              <w:t>2-</w:t>
            </w:r>
            <w:r w:rsidRPr="00D37AD3">
              <w:rPr>
                <w:rFonts w:ascii="宋体" w:eastAsia="宋体" w:hAnsi="宋体" w:cs="宋体"/>
                <w:color w:val="000000"/>
                <w:kern w:val="0"/>
                <w:sz w:val="18"/>
                <w:szCs w:val="18"/>
                <w:vertAlign w:val="subscript"/>
              </w:rPr>
              <w:t>3</w:t>
            </w:r>
            <w:r w:rsidRPr="00D37AD3">
              <w:rPr>
                <w:rFonts w:ascii="宋体" w:eastAsia="宋体" w:hAnsi="宋体" w:cs="宋体"/>
                <w:color w:val="000000"/>
                <w:kern w:val="0"/>
                <w:sz w:val="18"/>
                <w:szCs w:val="18"/>
              </w:rPr>
              <w:t>、hc0</w:t>
            </w:r>
            <w:r w:rsidRPr="00D37AD3">
              <w:rPr>
                <w:rFonts w:ascii="宋体" w:eastAsia="宋体" w:hAnsi="宋体" w:cs="宋体"/>
                <w:color w:val="000000"/>
                <w:kern w:val="0"/>
                <w:sz w:val="18"/>
                <w:szCs w:val="18"/>
                <w:vertAlign w:val="superscript"/>
              </w:rPr>
              <w:t>3-</w:t>
            </w:r>
            <w:r w:rsidRPr="00D37AD3">
              <w:rPr>
                <w:rFonts w:ascii="宋体" w:eastAsia="宋体" w:hAnsi="宋体" w:cs="宋体"/>
                <w:color w:val="000000"/>
                <w:kern w:val="0"/>
                <w:sz w:val="18"/>
                <w:szCs w:val="18"/>
              </w:rPr>
              <w:t>)，下同。</w:t>
            </w:r>
            <w:r w:rsidRPr="00D37AD3">
              <w:rPr>
                <w:rFonts w:ascii="宋体" w:eastAsia="宋体" w:hAnsi="宋体" w:cs="宋体"/>
                <w:color w:val="000000"/>
                <w:kern w:val="0"/>
                <w:sz w:val="18"/>
                <w:szCs w:val="18"/>
              </w:rPr>
              <w:br/>
              <w:t>   对蒸汽品质要求不高，且不带过热器的锅炉，使用单位在报当地锅炉压力容器安全监察机构同意后，碱度指标上限值可适当放宽。</w:t>
            </w:r>
            <w:r w:rsidRPr="00D37AD3">
              <w:rPr>
                <w:rFonts w:ascii="宋体" w:eastAsia="宋体" w:hAnsi="宋体" w:cs="宋体"/>
                <w:color w:val="000000"/>
                <w:kern w:val="0"/>
                <w:sz w:val="18"/>
                <w:szCs w:val="18"/>
              </w:rPr>
              <w:br/>
              <w:t xml:space="preserve">3) 当锅炉额定蒸发量大于等于6t/h时应除氧，额定蒸发量小于6t/h的锅炉如发现局部腐蚀时，给水应采取除氧措施，对 </w:t>
            </w:r>
            <w:proofErr w:type="gramStart"/>
            <w:r w:rsidRPr="00D37AD3">
              <w:rPr>
                <w:rFonts w:ascii="宋体" w:eastAsia="宋体" w:hAnsi="宋体" w:cs="宋体"/>
                <w:color w:val="000000"/>
                <w:kern w:val="0"/>
                <w:sz w:val="18"/>
                <w:szCs w:val="18"/>
              </w:rPr>
              <w:t>于供汽轮机</w:t>
            </w:r>
            <w:proofErr w:type="gramEnd"/>
            <w:r w:rsidRPr="00D37AD3">
              <w:rPr>
                <w:rFonts w:ascii="宋体" w:eastAsia="宋体" w:hAnsi="宋体" w:cs="宋体"/>
                <w:color w:val="000000"/>
                <w:kern w:val="0"/>
                <w:sz w:val="18"/>
                <w:szCs w:val="18"/>
              </w:rPr>
              <w:t>用汽的锅炉给水含氧量应小于等于0.05mg/l。</w:t>
            </w:r>
            <w:r w:rsidRPr="00D37AD3">
              <w:rPr>
                <w:rFonts w:ascii="宋体" w:eastAsia="宋体" w:hAnsi="宋体" w:cs="宋体"/>
                <w:color w:val="000000"/>
                <w:kern w:val="0"/>
                <w:sz w:val="18"/>
                <w:szCs w:val="18"/>
              </w:rPr>
              <w:br/>
              <w:t>4) 如测定溶解固形物有困难时，可采用测定电导率或氯离子(c1-)的方法来间接控制，但溶解固形物与电导率或</w:t>
            </w:r>
            <w:proofErr w:type="gramStart"/>
            <w:r w:rsidRPr="00D37AD3">
              <w:rPr>
                <w:rFonts w:ascii="宋体" w:eastAsia="宋体" w:hAnsi="宋体" w:cs="宋体"/>
                <w:color w:val="000000"/>
                <w:kern w:val="0"/>
                <w:sz w:val="18"/>
                <w:szCs w:val="18"/>
              </w:rPr>
              <w:t>与氯离</w:t>
            </w:r>
            <w:proofErr w:type="gramEnd"/>
            <w:r w:rsidRPr="00D37AD3">
              <w:rPr>
                <w:rFonts w:ascii="宋体" w:eastAsia="宋体" w:hAnsi="宋体" w:cs="宋体"/>
                <w:color w:val="000000"/>
                <w:kern w:val="0"/>
                <w:sz w:val="18"/>
                <w:szCs w:val="18"/>
              </w:rPr>
              <w:t xml:space="preserve"> 子(cl-)的比值关系应根据试验确定。并应定期复试和</w:t>
            </w:r>
            <w:proofErr w:type="gramStart"/>
            <w:r w:rsidRPr="00D37AD3">
              <w:rPr>
                <w:rFonts w:ascii="宋体" w:eastAsia="宋体" w:hAnsi="宋体" w:cs="宋体"/>
                <w:color w:val="000000"/>
                <w:kern w:val="0"/>
                <w:sz w:val="18"/>
                <w:szCs w:val="18"/>
              </w:rPr>
              <w:t>修正此</w:t>
            </w:r>
            <w:proofErr w:type="gramEnd"/>
            <w:r w:rsidRPr="00D37AD3">
              <w:rPr>
                <w:rFonts w:ascii="宋体" w:eastAsia="宋体" w:hAnsi="宋体" w:cs="宋体"/>
                <w:color w:val="000000"/>
                <w:kern w:val="0"/>
                <w:sz w:val="18"/>
                <w:szCs w:val="18"/>
              </w:rPr>
              <w:t>比值关系。</w:t>
            </w:r>
            <w:r w:rsidRPr="00D37AD3">
              <w:rPr>
                <w:rFonts w:ascii="宋体" w:eastAsia="宋体" w:hAnsi="宋体" w:cs="宋体"/>
                <w:color w:val="000000"/>
                <w:kern w:val="0"/>
                <w:sz w:val="18"/>
                <w:szCs w:val="18"/>
              </w:rPr>
              <w:br/>
              <w:t>5) 全焊接结构锅炉相对碱度可不控制。</w:t>
            </w:r>
            <w:r w:rsidRPr="00D37AD3">
              <w:rPr>
                <w:rFonts w:ascii="宋体" w:eastAsia="宋体" w:hAnsi="宋体" w:cs="宋体"/>
                <w:color w:val="000000"/>
                <w:kern w:val="0"/>
                <w:sz w:val="18"/>
                <w:szCs w:val="18"/>
              </w:rPr>
              <w:br/>
              <w:t>6) 仅限燃油、燃气锅炉</w:t>
            </w:r>
            <w:r w:rsidRPr="00D37AD3">
              <w:rPr>
                <w:rFonts w:ascii="宋体" w:eastAsia="宋体" w:hAnsi="宋体" w:cs="宋体"/>
                <w:color w:val="000000"/>
                <w:kern w:val="0"/>
                <w:sz w:val="18"/>
                <w:szCs w:val="18"/>
              </w:rPr>
              <w:br/>
              <w:t>2、额定蒸发量小于等于2t/h，且额定蒸汽压力小于等于1.0mpa的蒸汽锅炉和汽水两用锅炉(如对汽、水品质无特殊要求)也可采用锅内加药处理。但必须对锅炉的结垢、腐蚀和水质加强监督，认真做好加药、排污和清洗工作，其水质应符合表2规定。</w:t>
            </w:r>
          </w:p>
        </w:tc>
      </w:tr>
    </w:tbl>
    <w:p w:rsidR="00D37AD3" w:rsidRPr="00D37AD3" w:rsidRDefault="00D37AD3" w:rsidP="00D37AD3">
      <w:pPr>
        <w:widowControl/>
        <w:spacing w:before="100" w:beforeAutospacing="1" w:after="100" w:afterAutospacing="1"/>
        <w:jc w:val="left"/>
        <w:rPr>
          <w:rFonts w:ascii="宋体" w:eastAsia="宋体" w:hAnsi="宋体" w:cs="宋体"/>
          <w:color w:val="000000"/>
          <w:kern w:val="0"/>
          <w:sz w:val="18"/>
          <w:szCs w:val="18"/>
        </w:rPr>
      </w:pPr>
      <w:r w:rsidRPr="00D37AD3">
        <w:rPr>
          <w:rFonts w:ascii="宋体" w:eastAsia="宋体" w:hAnsi="宋体" w:cs="宋体"/>
          <w:color w:val="000000"/>
          <w:kern w:val="0"/>
          <w:sz w:val="18"/>
          <w:szCs w:val="18"/>
        </w:rPr>
        <w:t> 表2</w:t>
      </w:r>
    </w:p>
    <w:tbl>
      <w:tblPr>
        <w:tblW w:w="783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5"/>
        <w:gridCol w:w="2420"/>
        <w:gridCol w:w="2975"/>
      </w:tblGrid>
      <w:tr w:rsidR="00D37AD3" w:rsidRPr="00D37AD3" w:rsidTr="00D37AD3">
        <w:trPr>
          <w:tblCellSpacing w:w="15" w:type="dxa"/>
          <w:jc w:val="center"/>
        </w:trPr>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项    目 </w:t>
            </w:r>
          </w:p>
        </w:tc>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给水</w:t>
            </w:r>
          </w:p>
        </w:tc>
        <w:tc>
          <w:tcPr>
            <w:tcW w:w="190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锅炉水</w:t>
            </w:r>
          </w:p>
        </w:tc>
      </w:tr>
      <w:tr w:rsidR="00D37AD3" w:rsidRPr="00D37AD3" w:rsidTr="00D37AD3">
        <w:trPr>
          <w:tblCellSpacing w:w="15" w:type="dxa"/>
          <w:jc w:val="center"/>
        </w:trPr>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悬浮物，mg/l</w:t>
            </w:r>
          </w:p>
        </w:tc>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≤20</w:t>
            </w:r>
          </w:p>
        </w:tc>
        <w:tc>
          <w:tcPr>
            <w:tcW w:w="190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r>
      <w:tr w:rsidR="00D37AD3" w:rsidRPr="00D37AD3" w:rsidTr="00D37AD3">
        <w:trPr>
          <w:tblCellSpacing w:w="15" w:type="dxa"/>
          <w:jc w:val="center"/>
        </w:trPr>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总硬度，</w:t>
            </w:r>
            <w:proofErr w:type="spellStart"/>
            <w:r w:rsidRPr="00D37AD3">
              <w:rPr>
                <w:rFonts w:ascii="宋体" w:eastAsia="宋体" w:hAnsi="宋体" w:cs="宋体"/>
                <w:color w:val="000000"/>
                <w:kern w:val="0"/>
                <w:sz w:val="18"/>
                <w:szCs w:val="18"/>
              </w:rPr>
              <w:t>mmol</w:t>
            </w:r>
            <w:proofErr w:type="spellEnd"/>
            <w:r w:rsidRPr="00D37AD3">
              <w:rPr>
                <w:rFonts w:ascii="宋体" w:eastAsia="宋体" w:hAnsi="宋体" w:cs="宋体"/>
                <w:color w:val="000000"/>
                <w:kern w:val="0"/>
                <w:sz w:val="18"/>
                <w:szCs w:val="18"/>
              </w:rPr>
              <w:t>/l</w:t>
            </w:r>
          </w:p>
        </w:tc>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≤4</w:t>
            </w:r>
          </w:p>
        </w:tc>
        <w:tc>
          <w:tcPr>
            <w:tcW w:w="190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r>
      <w:tr w:rsidR="00D37AD3" w:rsidRPr="00D37AD3" w:rsidTr="00D37AD3">
        <w:trPr>
          <w:tblCellSpacing w:w="15" w:type="dxa"/>
          <w:jc w:val="center"/>
        </w:trPr>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总碱度，</w:t>
            </w:r>
            <w:proofErr w:type="spellStart"/>
            <w:r w:rsidRPr="00D37AD3">
              <w:rPr>
                <w:rFonts w:ascii="宋体" w:eastAsia="宋体" w:hAnsi="宋体" w:cs="宋体"/>
                <w:color w:val="000000"/>
                <w:kern w:val="0"/>
                <w:sz w:val="18"/>
                <w:szCs w:val="18"/>
              </w:rPr>
              <w:t>mmol</w:t>
            </w:r>
            <w:proofErr w:type="spellEnd"/>
            <w:r w:rsidRPr="00D37AD3">
              <w:rPr>
                <w:rFonts w:ascii="宋体" w:eastAsia="宋体" w:hAnsi="宋体" w:cs="宋体"/>
                <w:color w:val="000000"/>
                <w:kern w:val="0"/>
                <w:sz w:val="18"/>
                <w:szCs w:val="18"/>
              </w:rPr>
              <w:t>/l</w:t>
            </w:r>
          </w:p>
        </w:tc>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90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8-26</w:t>
            </w:r>
          </w:p>
        </w:tc>
      </w:tr>
      <w:tr w:rsidR="00D37AD3" w:rsidRPr="00D37AD3" w:rsidTr="00D37AD3">
        <w:trPr>
          <w:tblCellSpacing w:w="15" w:type="dxa"/>
          <w:jc w:val="center"/>
        </w:trPr>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proofErr w:type="spellStart"/>
            <w:r w:rsidRPr="00D37AD3">
              <w:rPr>
                <w:rFonts w:ascii="宋体" w:eastAsia="宋体" w:hAnsi="宋体" w:cs="宋体"/>
                <w:color w:val="000000"/>
                <w:kern w:val="0"/>
                <w:sz w:val="18"/>
                <w:szCs w:val="18"/>
              </w:rPr>
              <w:t>ph</w:t>
            </w:r>
            <w:proofErr w:type="spellEnd"/>
            <w:r w:rsidRPr="00D37AD3">
              <w:rPr>
                <w:rFonts w:ascii="宋体" w:eastAsia="宋体" w:hAnsi="宋体" w:cs="宋体"/>
                <w:color w:val="000000"/>
                <w:kern w:val="0"/>
                <w:sz w:val="18"/>
                <w:szCs w:val="18"/>
              </w:rPr>
              <w:t>(25℃)</w:t>
            </w:r>
          </w:p>
        </w:tc>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≥7</w:t>
            </w:r>
          </w:p>
        </w:tc>
        <w:tc>
          <w:tcPr>
            <w:tcW w:w="190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10-12</w:t>
            </w:r>
          </w:p>
        </w:tc>
      </w:tr>
      <w:tr w:rsidR="00D37AD3" w:rsidRPr="00D37AD3" w:rsidTr="00D37AD3">
        <w:trPr>
          <w:tblCellSpacing w:w="15" w:type="dxa"/>
          <w:jc w:val="center"/>
        </w:trPr>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溶解固形物,mg/l</w:t>
            </w:r>
          </w:p>
        </w:tc>
        <w:tc>
          <w:tcPr>
            <w:tcW w:w="15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w:t>
            </w:r>
          </w:p>
        </w:tc>
        <w:tc>
          <w:tcPr>
            <w:tcW w:w="190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＜5000</w:t>
            </w:r>
          </w:p>
        </w:tc>
      </w:tr>
    </w:tbl>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br/>
        <w:t>3 、 承压热水锅炉给水应进行锅外水处理，对于额定功率小于等于4.2mw非管架式承压的热水锅炉和常压热水锅炉，可采用锅内加药处理，但必须对锅炉的结垢、腐蚀和水质加强监督，认真做好加药工作，其水质应符合表3的规定。</w:t>
      </w:r>
    </w:p>
    <w:p w:rsidR="00D37AD3" w:rsidRPr="00D37AD3" w:rsidRDefault="00D37AD3" w:rsidP="00D37AD3">
      <w:pPr>
        <w:widowControl/>
        <w:spacing w:before="60" w:after="60"/>
        <w:ind w:left="450" w:right="450" w:firstLine="435"/>
        <w:jc w:val="center"/>
        <w:rPr>
          <w:rFonts w:ascii="宋体" w:eastAsia="宋体" w:hAnsi="宋体" w:cs="宋体"/>
          <w:color w:val="000000"/>
          <w:kern w:val="0"/>
          <w:sz w:val="27"/>
          <w:szCs w:val="27"/>
        </w:rPr>
      </w:pPr>
      <w:r w:rsidRPr="00D37AD3">
        <w:rPr>
          <w:rFonts w:ascii="宋体" w:eastAsia="宋体" w:hAnsi="宋体" w:cs="宋体"/>
          <w:color w:val="000000"/>
          <w:kern w:val="0"/>
          <w:sz w:val="18"/>
          <w:szCs w:val="18"/>
        </w:rPr>
        <w:t>表3</w:t>
      </w:r>
    </w:p>
    <w:tbl>
      <w:tblPr>
        <w:tblW w:w="843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1"/>
        <w:gridCol w:w="1466"/>
        <w:gridCol w:w="720"/>
        <w:gridCol w:w="1845"/>
        <w:gridCol w:w="2768"/>
      </w:tblGrid>
      <w:tr w:rsidR="00D37AD3" w:rsidRPr="00D37AD3" w:rsidTr="00D37AD3">
        <w:trPr>
          <w:tblCellSpacing w:w="15" w:type="dxa"/>
          <w:jc w:val="center"/>
        </w:trPr>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项 目</w:t>
            </w:r>
          </w:p>
        </w:tc>
        <w:tc>
          <w:tcPr>
            <w:tcW w:w="3270" w:type="dxa"/>
            <w:gridSpan w:val="2"/>
            <w:tcBorders>
              <w:top w:val="outset" w:sz="6" w:space="0" w:color="auto"/>
              <w:left w:val="outset" w:sz="6" w:space="0" w:color="auto"/>
              <w:bottom w:val="outset" w:sz="6" w:space="0" w:color="auto"/>
              <w:right w:val="outset" w:sz="6" w:space="0" w:color="auto"/>
            </w:tcBorders>
            <w:shd w:val="clear" w:color="auto" w:fill="C4FFE8"/>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锅内加药处理</w:t>
            </w:r>
          </w:p>
        </w:tc>
        <w:tc>
          <w:tcPr>
            <w:tcW w:w="3240" w:type="dxa"/>
            <w:gridSpan w:val="2"/>
            <w:tcBorders>
              <w:top w:val="outset" w:sz="6" w:space="0" w:color="auto"/>
              <w:left w:val="outset" w:sz="6" w:space="0" w:color="auto"/>
              <w:bottom w:val="outset" w:sz="6" w:space="0" w:color="auto"/>
              <w:right w:val="outset" w:sz="6" w:space="0" w:color="auto"/>
            </w:tcBorders>
            <w:shd w:val="clear" w:color="auto" w:fill="C4FFE8"/>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锅外化学处理</w:t>
            </w:r>
          </w:p>
        </w:tc>
      </w:tr>
      <w:tr w:rsidR="00D37AD3" w:rsidRPr="00D37AD3" w:rsidTr="00D37AD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left"/>
              <w:rPr>
                <w:rFonts w:ascii="宋体" w:eastAsia="宋体" w:hAnsi="宋体" w:cs="宋体"/>
                <w:color w:val="000000"/>
                <w:kern w:val="0"/>
                <w:sz w:val="18"/>
                <w:szCs w:val="18"/>
              </w:rPr>
            </w:pPr>
          </w:p>
        </w:tc>
        <w:tc>
          <w:tcPr>
            <w:tcW w:w="950" w:type="pct"/>
            <w:tcBorders>
              <w:top w:val="outset" w:sz="6" w:space="0" w:color="auto"/>
              <w:left w:val="outset" w:sz="6" w:space="0" w:color="auto"/>
              <w:bottom w:val="outset" w:sz="6" w:space="0" w:color="auto"/>
              <w:right w:val="outset" w:sz="6" w:space="0" w:color="auto"/>
            </w:tcBorders>
            <w:shd w:val="clear" w:color="auto" w:fill="C4FFE8"/>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给  水</w:t>
            </w:r>
          </w:p>
        </w:tc>
        <w:tc>
          <w:tcPr>
            <w:tcW w:w="0" w:type="auto"/>
            <w:tcBorders>
              <w:top w:val="outset" w:sz="6" w:space="0" w:color="auto"/>
              <w:left w:val="outset" w:sz="6" w:space="0" w:color="auto"/>
              <w:bottom w:val="outset" w:sz="6" w:space="0" w:color="auto"/>
              <w:right w:val="outset" w:sz="6" w:space="0" w:color="auto"/>
            </w:tcBorders>
            <w:shd w:val="clear" w:color="auto" w:fill="C4FFE8"/>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锅  水</w:t>
            </w:r>
          </w:p>
        </w:tc>
        <w:tc>
          <w:tcPr>
            <w:tcW w:w="1000" w:type="pct"/>
            <w:tcBorders>
              <w:top w:val="outset" w:sz="6" w:space="0" w:color="auto"/>
              <w:left w:val="outset" w:sz="6" w:space="0" w:color="auto"/>
              <w:bottom w:val="outset" w:sz="6" w:space="0" w:color="auto"/>
              <w:right w:val="outset" w:sz="6" w:space="0" w:color="auto"/>
            </w:tcBorders>
            <w:shd w:val="clear" w:color="auto" w:fill="C4FFE8"/>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给  水</w:t>
            </w:r>
          </w:p>
        </w:tc>
        <w:tc>
          <w:tcPr>
            <w:tcW w:w="0" w:type="auto"/>
            <w:tcBorders>
              <w:top w:val="outset" w:sz="6" w:space="0" w:color="auto"/>
              <w:left w:val="outset" w:sz="6" w:space="0" w:color="auto"/>
              <w:bottom w:val="outset" w:sz="6" w:space="0" w:color="auto"/>
              <w:right w:val="outset" w:sz="6" w:space="0" w:color="auto"/>
            </w:tcBorders>
            <w:shd w:val="clear" w:color="auto" w:fill="C4FFE8"/>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锅  水</w:t>
            </w:r>
          </w:p>
        </w:tc>
      </w:tr>
      <w:tr w:rsidR="00D37AD3" w:rsidRPr="00D37AD3" w:rsidTr="00D37AD3">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悬浮物，mg/l</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c>
          <w:tcPr>
            <w:tcW w:w="1200" w:type="pct"/>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≤5</w:t>
            </w:r>
          </w:p>
        </w:tc>
        <w:tc>
          <w:tcPr>
            <w:tcW w:w="800" w:type="pct"/>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r>
      <w:tr w:rsidR="00D37AD3" w:rsidRPr="00D37AD3" w:rsidTr="00D37AD3">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总硬度，</w:t>
            </w:r>
            <w:proofErr w:type="spellStart"/>
            <w:r w:rsidRPr="00D37AD3">
              <w:rPr>
                <w:rFonts w:ascii="宋体" w:eastAsia="宋体" w:hAnsi="宋体" w:cs="宋体"/>
                <w:color w:val="000000"/>
                <w:kern w:val="0"/>
                <w:sz w:val="18"/>
                <w:szCs w:val="18"/>
              </w:rPr>
              <w:t>mmol</w:t>
            </w:r>
            <w:proofErr w:type="spellEnd"/>
            <w:r w:rsidRPr="00D37AD3">
              <w:rPr>
                <w:rFonts w:ascii="宋体" w:eastAsia="宋体" w:hAnsi="宋体" w:cs="宋体"/>
                <w:color w:val="000000"/>
                <w:kern w:val="0"/>
                <w:sz w:val="18"/>
                <w:szCs w:val="18"/>
              </w:rPr>
              <w:t>/l</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≤0.6</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r>
      <w:tr w:rsidR="00D37AD3" w:rsidRPr="00D37AD3" w:rsidTr="00D37AD3">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proofErr w:type="spellStart"/>
            <w:r w:rsidRPr="00D37AD3">
              <w:rPr>
                <w:rFonts w:ascii="宋体" w:eastAsia="宋体" w:hAnsi="宋体" w:cs="宋体"/>
                <w:color w:val="000000"/>
                <w:kern w:val="0"/>
                <w:sz w:val="18"/>
                <w:szCs w:val="18"/>
              </w:rPr>
              <w:t>ph</w:t>
            </w:r>
            <w:proofErr w:type="spellEnd"/>
            <w:r w:rsidRPr="00D37AD3">
              <w:rPr>
                <w:rFonts w:ascii="宋体" w:eastAsia="宋体" w:hAnsi="宋体" w:cs="宋体"/>
                <w:color w:val="000000"/>
                <w:kern w:val="0"/>
                <w:sz w:val="18"/>
                <w:szCs w:val="18"/>
              </w:rPr>
              <w:t>(25℃)</w:t>
            </w:r>
            <w:r w:rsidRPr="00D37AD3">
              <w:rPr>
                <w:rFonts w:ascii="宋体" w:eastAsia="宋体" w:hAnsi="宋体" w:cs="宋体"/>
                <w:color w:val="000000"/>
                <w:kern w:val="0"/>
                <w:sz w:val="18"/>
                <w:szCs w:val="18"/>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10-12</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r>
      <w:tr w:rsidR="00D37AD3" w:rsidRPr="00D37AD3" w:rsidTr="00D37AD3">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溶解氧，mg/l</w:t>
            </w:r>
            <w:r w:rsidRPr="00D37AD3">
              <w:rPr>
                <w:rFonts w:ascii="宋体" w:eastAsia="宋体" w:hAnsi="宋体" w:cs="宋体"/>
                <w:color w:val="000000"/>
                <w:kern w:val="0"/>
                <w:sz w:val="18"/>
                <w:szCs w:val="18"/>
                <w:vertAlign w:val="superscript"/>
              </w:rPr>
              <w:t>2</w:t>
            </w:r>
            <w:r w:rsidRPr="00D37AD3">
              <w:rPr>
                <w:rFonts w:ascii="宋体" w:eastAsia="宋体" w:hAnsi="宋体" w:cs="宋体"/>
                <w:color w:val="000000"/>
                <w:kern w:val="0"/>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≤0.1</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r>
      <w:tr w:rsidR="00D37AD3" w:rsidRPr="00D37AD3" w:rsidTr="00D37AD3">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含油量，mg/l</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E1DED9"/>
            <w:vAlign w:val="center"/>
            <w:hideMark/>
          </w:tcPr>
          <w:p w:rsidR="00D37AD3" w:rsidRPr="00D37AD3" w:rsidRDefault="00D37AD3" w:rsidP="00D37AD3">
            <w:pPr>
              <w:widowControl/>
              <w:jc w:val="center"/>
              <w:rPr>
                <w:rFonts w:ascii="宋体" w:eastAsia="宋体" w:hAnsi="宋体" w:cs="宋体"/>
                <w:color w:val="000000"/>
                <w:kern w:val="0"/>
                <w:sz w:val="18"/>
                <w:szCs w:val="18"/>
              </w:rPr>
            </w:pPr>
            <w:r w:rsidRPr="00D37AD3">
              <w:rPr>
                <w:rFonts w:ascii="宋体" w:eastAsia="宋体" w:hAnsi="宋体" w:cs="宋体"/>
                <w:color w:val="000000"/>
                <w:kern w:val="0"/>
                <w:sz w:val="18"/>
                <w:szCs w:val="18"/>
              </w:rPr>
              <w:t xml:space="preserve">　</w:t>
            </w:r>
          </w:p>
        </w:tc>
      </w:tr>
    </w:tbl>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lastRenderedPageBreak/>
        <w:t>1)　通过补加药剂使锅水</w:t>
      </w:r>
      <w:proofErr w:type="spellStart"/>
      <w:r w:rsidRPr="00D37AD3">
        <w:rPr>
          <w:rFonts w:ascii="宋体" w:eastAsia="宋体" w:hAnsi="宋体" w:cs="宋体"/>
          <w:color w:val="000000"/>
          <w:kern w:val="0"/>
          <w:sz w:val="18"/>
          <w:szCs w:val="18"/>
        </w:rPr>
        <w:t>ph</w:t>
      </w:r>
      <w:proofErr w:type="spellEnd"/>
      <w:r w:rsidRPr="00D37AD3">
        <w:rPr>
          <w:rFonts w:ascii="宋体" w:eastAsia="宋体" w:hAnsi="宋体" w:cs="宋体"/>
          <w:color w:val="000000"/>
          <w:kern w:val="0"/>
          <w:sz w:val="18"/>
          <w:szCs w:val="18"/>
        </w:rPr>
        <w:t>值控制在10</w:t>
      </w:r>
      <w:proofErr w:type="gramStart"/>
      <w:r w:rsidRPr="00D37AD3">
        <w:rPr>
          <w:rFonts w:ascii="宋体" w:eastAsia="宋体" w:hAnsi="宋体" w:cs="宋体"/>
          <w:color w:val="000000"/>
          <w:kern w:val="0"/>
          <w:sz w:val="18"/>
          <w:szCs w:val="18"/>
        </w:rPr>
        <w:t>一12</w:t>
      </w:r>
      <w:proofErr w:type="gramEnd"/>
      <w:r w:rsidRPr="00D37AD3">
        <w:rPr>
          <w:rFonts w:ascii="宋体" w:eastAsia="宋体" w:hAnsi="宋体" w:cs="宋体"/>
          <w:color w:val="000000"/>
          <w:kern w:val="0"/>
          <w:sz w:val="18"/>
          <w:szCs w:val="18"/>
        </w:rPr>
        <w:t>。</w:t>
      </w:r>
    </w:p>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2)　额定功率大于等于4.2mw的承压热水锅炉给水应除氧，额定功率小于4.2mw的承压热水锅炉</w:t>
      </w:r>
      <w:r w:rsidRPr="00D37AD3">
        <w:rPr>
          <w:rFonts w:ascii="宋体" w:eastAsia="宋体" w:hAnsi="宋体" w:cs="宋体"/>
          <w:color w:val="000000"/>
          <w:kern w:val="0"/>
          <w:sz w:val="18"/>
          <w:szCs w:val="18"/>
        </w:rPr>
        <w:br/>
        <w:t xml:space="preserve">　　 和常压热水锅炉给水应尽量除氧。</w:t>
      </w:r>
    </w:p>
    <w:p w:rsidR="00D37AD3" w:rsidRPr="00D37AD3" w:rsidRDefault="00D37AD3" w:rsidP="00D37AD3">
      <w:pPr>
        <w:widowControl/>
        <w:spacing w:before="60" w:after="60" w:line="360" w:lineRule="atLeast"/>
        <w:ind w:lef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4、直流（贯流）锅炉给水应采用锅外化学水处理，其水质按表1中额定蒸汽压力为大于1.6mpa、小</w:t>
      </w:r>
      <w:r w:rsidRPr="00D37AD3">
        <w:rPr>
          <w:rFonts w:ascii="宋体" w:eastAsia="宋体" w:hAnsi="宋体" w:cs="宋体"/>
          <w:color w:val="000000"/>
          <w:kern w:val="0"/>
          <w:sz w:val="18"/>
          <w:szCs w:val="18"/>
        </w:rPr>
        <w:br/>
        <w:t xml:space="preserve">　 于等于2.5mpa的标准执行。</w:t>
      </w:r>
    </w:p>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5、余热锅炉及电热锅炉的水质指标应符合同类型、同参数锅炉的要求。</w:t>
      </w:r>
    </w:p>
    <w:p w:rsidR="00D37AD3" w:rsidRPr="00D37AD3" w:rsidRDefault="00D37AD3" w:rsidP="00D37AD3">
      <w:pPr>
        <w:widowControl/>
        <w:spacing w:before="60" w:after="60" w:line="360" w:lineRule="atLeast"/>
        <w:ind w:left="450" w:right="450"/>
        <w:jc w:val="left"/>
        <w:rPr>
          <w:rFonts w:ascii="宋体" w:eastAsia="宋体" w:hAnsi="宋体" w:cs="宋体"/>
          <w:color w:val="000000"/>
          <w:kern w:val="0"/>
          <w:sz w:val="27"/>
          <w:szCs w:val="27"/>
        </w:rPr>
      </w:pPr>
      <w:r w:rsidRPr="00D37AD3">
        <w:rPr>
          <w:rFonts w:ascii="宋体" w:eastAsia="宋体" w:hAnsi="宋体" w:cs="宋体"/>
          <w:color w:val="000000"/>
          <w:kern w:val="0"/>
          <w:sz w:val="18"/>
          <w:szCs w:val="18"/>
        </w:rPr>
        <w:t>6、水质检验方法应按附录a（标准的附录）执行。</w:t>
      </w:r>
    </w:p>
    <w:p w:rsidR="00F32ED7" w:rsidRPr="00D37AD3" w:rsidRDefault="00D37AD3"/>
    <w:sectPr w:rsidR="00F32ED7" w:rsidRPr="00D37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D3"/>
    <w:rsid w:val="00AA11CE"/>
    <w:rsid w:val="00D37AD3"/>
    <w:rsid w:val="00E7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7AD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37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7AD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37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2015-11-23T03:18:00Z</dcterms:created>
  <dcterms:modified xsi:type="dcterms:W3CDTF">2015-11-23T03:19:00Z</dcterms:modified>
</cp:coreProperties>
</file>